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B468" w14:textId="5305C13B" w:rsidR="00B53661" w:rsidRPr="00240032" w:rsidRDefault="00A6790B">
      <w:pPr>
        <w:pStyle w:val="P68B1DB1-Normale1"/>
        <w:ind w:left="-284" w:right="-575"/>
        <w:rPr>
          <w:lang w:val="fr-FR"/>
        </w:rPr>
      </w:pPr>
      <w:r w:rsidRPr="00240032">
        <w:rPr>
          <w:lang w:val="fr-FR"/>
        </w:rPr>
        <w:t>Communiqué de presse n.2</w:t>
      </w:r>
      <w:r w:rsidR="005A718F">
        <w:rPr>
          <w:lang w:val="fr-FR"/>
        </w:rPr>
        <w:t>4</w:t>
      </w:r>
      <w:r w:rsidRPr="00240032">
        <w:rPr>
          <w:lang w:val="fr-FR"/>
        </w:rPr>
        <w:t xml:space="preserve">/2022 </w:t>
      </w:r>
    </w:p>
    <w:p w14:paraId="22C535CD" w14:textId="47F188E4" w:rsidR="00B53661" w:rsidRPr="00240032" w:rsidRDefault="00A6790B">
      <w:pPr>
        <w:pStyle w:val="P68B1DB1-Normale1"/>
        <w:ind w:left="-284" w:right="-575"/>
        <w:rPr>
          <w:sz w:val="10"/>
          <w:lang w:val="fr-FR"/>
        </w:rPr>
      </w:pPr>
      <w:r w:rsidRPr="00240032">
        <w:rPr>
          <w:lang w:val="fr-FR"/>
        </w:rPr>
        <w:t xml:space="preserve"> </w:t>
      </w:r>
      <w:r w:rsidRPr="00240032">
        <w:rPr>
          <w:sz w:val="10"/>
          <w:lang w:val="fr-FR"/>
        </w:rPr>
        <w:t xml:space="preserve">              </w:t>
      </w:r>
    </w:p>
    <w:p w14:paraId="441A8899" w14:textId="77777777" w:rsidR="005A718F" w:rsidRPr="003A405A" w:rsidRDefault="005A718F" w:rsidP="005A718F">
      <w:pPr>
        <w:pStyle w:val="P68B1DB1-Normale2"/>
        <w:ind w:left="-284"/>
        <w:jc w:val="both"/>
        <w:rPr>
          <w:lang w:val="fr-FR"/>
        </w:rPr>
      </w:pPr>
      <w:r w:rsidRPr="003A405A">
        <w:rPr>
          <w:lang w:val="fr-FR"/>
        </w:rPr>
        <w:t>Machines agricoles : forte demande sur le marché mondial</w:t>
      </w:r>
    </w:p>
    <w:p w14:paraId="48F7262B" w14:textId="77777777" w:rsidR="005A718F" w:rsidRPr="003A405A" w:rsidRDefault="005A718F" w:rsidP="005A718F">
      <w:pPr>
        <w:ind w:left="-284"/>
        <w:jc w:val="both"/>
        <w:rPr>
          <w:b/>
          <w:lang w:val="fr-FR"/>
        </w:rPr>
      </w:pPr>
    </w:p>
    <w:p w14:paraId="4C8013D7" w14:textId="77777777" w:rsidR="005A718F" w:rsidRPr="003A405A" w:rsidRDefault="005A718F" w:rsidP="005A718F">
      <w:pPr>
        <w:pStyle w:val="P68B1DB1-Normale3"/>
        <w:ind w:left="-284"/>
        <w:jc w:val="both"/>
        <w:rPr>
          <w:lang w:val="fr-FR"/>
        </w:rPr>
      </w:pPr>
      <w:r w:rsidRPr="003A405A">
        <w:rPr>
          <w:lang w:val="fr-FR"/>
        </w:rPr>
        <w:t xml:space="preserve">Les ventes de véhicules mécaniques pour l’agriculture ont maintenu de bons niveaux au cours des deux dernières années et demie, caractérisées par de graves crises économiques consécutives à la pandémie de Covid et à la guerre entre la Russie et l'Ukraine. Au cours des neuf mois de janvier à septembre 2022, le marché se maintient à des volumes supérieurs à ceux d'avant la pandémie de 2020, bien qu'entre la fin de cette année et la première partie de 2023, le secteur soit destiné à subir les effets de l'inflation et de l'incertitude géopolitique. Perspectives positives pour les années à venir, en réponse à la demande croissante de denrées alimentaires, tant en quantité qu'en qualité. </w:t>
      </w:r>
    </w:p>
    <w:p w14:paraId="6885FF3C" w14:textId="77777777" w:rsidR="005A718F" w:rsidRPr="003A405A" w:rsidRDefault="005A718F" w:rsidP="005A718F">
      <w:pPr>
        <w:ind w:left="-284"/>
        <w:jc w:val="both"/>
        <w:rPr>
          <w:i/>
          <w:lang w:val="fr-FR"/>
        </w:rPr>
      </w:pPr>
    </w:p>
    <w:p w14:paraId="1A11482C" w14:textId="5042A5CF" w:rsidR="005A718F" w:rsidRDefault="005A718F" w:rsidP="005A718F">
      <w:pPr>
        <w:ind w:left="-284"/>
        <w:jc w:val="both"/>
        <w:rPr>
          <w:lang w:val="fr-FR"/>
        </w:rPr>
      </w:pPr>
      <w:r w:rsidRPr="003A405A">
        <w:rPr>
          <w:b/>
          <w:lang w:val="fr-FR"/>
        </w:rPr>
        <w:t>Les crises économiques qui ont frappé l’économie mondiale au cours des deux dernières années n'ont pas réussi à stopper le processus de développement de la mécanisation agricole</w:t>
      </w:r>
      <w:r w:rsidRPr="003A405A">
        <w:rPr>
          <w:lang w:val="fr-FR"/>
        </w:rPr>
        <w:t xml:space="preserve">. </w:t>
      </w:r>
      <w:r w:rsidRPr="003A405A">
        <w:rPr>
          <w:b/>
          <w:lang w:val="fr-FR"/>
        </w:rPr>
        <w:t xml:space="preserve">Au cours de l'année 2020, </w:t>
      </w:r>
      <w:r w:rsidRPr="003A405A">
        <w:rPr>
          <w:lang w:val="fr-FR"/>
        </w:rPr>
        <w:t xml:space="preserve">dévastée par la pandémie de Covid, entraînant le blocage forcé des activités de production et le ralentissement de tout le système du commerce, des transports et de la logistique, </w:t>
      </w:r>
      <w:r w:rsidRPr="003A405A">
        <w:rPr>
          <w:b/>
          <w:lang w:val="fr-FR"/>
        </w:rPr>
        <w:t>le marché mondial des tracteurs s'est globalement bien maintenu</w:t>
      </w:r>
      <w:r w:rsidRPr="003A405A">
        <w:rPr>
          <w:lang w:val="fr-FR"/>
        </w:rPr>
        <w:t xml:space="preserve">, clôturant </w:t>
      </w:r>
      <w:r w:rsidRPr="003A405A">
        <w:rPr>
          <w:b/>
          <w:lang w:val="fr-FR"/>
        </w:rPr>
        <w:t>avec une augmentation de 7,7 %</w:t>
      </w:r>
      <w:r w:rsidRPr="003A405A">
        <w:rPr>
          <w:lang w:val="fr-FR"/>
        </w:rPr>
        <w:t xml:space="preserve"> (2 200 000 tracteurs nouvellement immatriculés). </w:t>
      </w:r>
      <w:r w:rsidRPr="003A405A">
        <w:rPr>
          <w:b/>
          <w:lang w:val="fr-FR"/>
        </w:rPr>
        <w:t>En 2021, il y a eu une nette reprise</w:t>
      </w:r>
      <w:r w:rsidRPr="003A405A">
        <w:rPr>
          <w:lang w:val="fr-FR"/>
        </w:rPr>
        <w:t xml:space="preserve">, avec des augmentations notables aux États-Unis (+10 %), en Inde (+13 %) et en Europe (+16,6 %), une phase d'expansion dont la Chine est restée exclue, toujours aux prises avec l’urgence Covid et ses restrictions, ainsi qu'avec une mauvaise conjoncture économique interne. Dans l'ensemble, le marché des machines agricoles a </w:t>
      </w:r>
      <w:r w:rsidRPr="003A405A">
        <w:rPr>
          <w:b/>
          <w:lang w:val="fr-FR"/>
        </w:rPr>
        <w:t>augmenté d'environ 13 %</w:t>
      </w:r>
      <w:r w:rsidRPr="003A405A">
        <w:rPr>
          <w:lang w:val="fr-FR"/>
        </w:rPr>
        <w:t xml:space="preserve"> en 2021. Même </w:t>
      </w:r>
      <w:r w:rsidRPr="003A405A">
        <w:rPr>
          <w:b/>
          <w:lang w:val="fr-FR"/>
        </w:rPr>
        <w:t>cette année</w:t>
      </w:r>
      <w:r w:rsidRPr="003A405A">
        <w:rPr>
          <w:lang w:val="fr-FR"/>
        </w:rPr>
        <w:t xml:space="preserve">, face à la grave crise politique et économique provoquée par la guerre entre la Russie et l'Ukraine, malgré la croissance impressionnante de l’inflation, du coût de l'énergie qui a atteint des niveaux impensables et la persistance des difficultés liées à la disponibilité des matières premières ferreuses et plastiques, ainsi qu'au coût de la logistique et des transports, </w:t>
      </w:r>
      <w:r w:rsidRPr="003A405A">
        <w:rPr>
          <w:b/>
          <w:lang w:val="fr-FR"/>
        </w:rPr>
        <w:t>les machines agricoles ont maintenu de bons niveaux de vente</w:t>
      </w:r>
      <w:r w:rsidRPr="003A405A">
        <w:rPr>
          <w:lang w:val="fr-FR"/>
        </w:rPr>
        <w:t xml:space="preserve">. Dans les neuf mois </w:t>
      </w:r>
      <w:r w:rsidRPr="003A405A">
        <w:rPr>
          <w:b/>
          <w:lang w:val="fr-FR"/>
        </w:rPr>
        <w:t>de janvier à septembre 2022</w:t>
      </w:r>
      <w:r w:rsidRPr="003A405A">
        <w:rPr>
          <w:lang w:val="fr-FR"/>
        </w:rPr>
        <w:t xml:space="preserve"> – ce sont les données diffusées par FederUnacoma cet après-midi à Bologne, au cours de la conférence de presse de présentation de </w:t>
      </w:r>
      <w:proofErr w:type="spellStart"/>
      <w:r w:rsidRPr="003A405A">
        <w:rPr>
          <w:lang w:val="fr-FR"/>
        </w:rPr>
        <w:t>EIMA</w:t>
      </w:r>
      <w:proofErr w:type="spellEnd"/>
      <w:r w:rsidRPr="003A405A">
        <w:rPr>
          <w:lang w:val="fr-FR"/>
        </w:rPr>
        <w:t xml:space="preserve"> International – les ventes en Inde indiquent </w:t>
      </w:r>
      <w:r w:rsidRPr="003A405A">
        <w:rPr>
          <w:b/>
          <w:lang w:val="fr-FR"/>
        </w:rPr>
        <w:t>un nombre de tracteurs égal à 665 000 unités, ce qui correspond à une baisse d'à peine 2,3 %</w:t>
      </w:r>
      <w:r w:rsidRPr="003A405A">
        <w:rPr>
          <w:lang w:val="fr-FR"/>
        </w:rPr>
        <w:t xml:space="preserve"> par rapport à la même période de 2021. Au cours de la même période, le </w:t>
      </w:r>
      <w:r w:rsidRPr="003A405A">
        <w:rPr>
          <w:b/>
          <w:lang w:val="fr-FR"/>
        </w:rPr>
        <w:t>marché américain a enregistré 210 000 unités</w:t>
      </w:r>
      <w:r w:rsidRPr="003A405A">
        <w:rPr>
          <w:lang w:val="fr-FR"/>
        </w:rPr>
        <w:t xml:space="preserve">, soit une baisse de 14,3 % par rapport à 2021, mais avec un volume de ventes qui reste supérieur aux niveaux pré-Covid. Le </w:t>
      </w:r>
      <w:r w:rsidRPr="003A405A">
        <w:rPr>
          <w:b/>
          <w:lang w:val="fr-FR"/>
        </w:rPr>
        <w:t xml:space="preserve">marché européen </w:t>
      </w:r>
      <w:r w:rsidRPr="003A405A">
        <w:rPr>
          <w:lang w:val="fr-FR"/>
        </w:rPr>
        <w:t xml:space="preserve">semble lui aussi se situer à des niveaux tout à fait respectables, même s'il subit la détérioration de la situation économique générale </w:t>
      </w:r>
      <w:r w:rsidRPr="003A405A">
        <w:rPr>
          <w:b/>
          <w:lang w:val="fr-FR"/>
        </w:rPr>
        <w:t>(-7,6 % au cours des neuf premiers mois de 2022)</w:t>
      </w:r>
      <w:r w:rsidRPr="003A405A">
        <w:rPr>
          <w:lang w:val="fr-FR"/>
        </w:rPr>
        <w:t xml:space="preserve">. Des pays porteurs comme l'Allemagne et la France affichent une bonne tenue au cours de ces neuf mois : </w:t>
      </w:r>
      <w:r w:rsidRPr="003A405A">
        <w:rPr>
          <w:b/>
          <w:lang w:val="fr-FR"/>
        </w:rPr>
        <w:t>l'Allemagne marque une baisse de 7,4 % pour les tracteurs,</w:t>
      </w:r>
      <w:r w:rsidRPr="003A405A">
        <w:rPr>
          <w:lang w:val="fr-FR"/>
        </w:rPr>
        <w:t xml:space="preserve"> en maintenant un volume de ventes (23 400) supérieur au niveau d'avant le Covid de 2019. </w:t>
      </w:r>
      <w:r w:rsidRPr="003A405A">
        <w:rPr>
          <w:b/>
          <w:lang w:val="fr-FR"/>
        </w:rPr>
        <w:t>La France enregistre une baisse de 4,5 %</w:t>
      </w:r>
      <w:r w:rsidRPr="003A405A">
        <w:rPr>
          <w:lang w:val="fr-FR"/>
        </w:rPr>
        <w:t xml:space="preserve"> (23 500 unités, soit plus que le chiffre pré-Covid de 2019), tandis que l’on note</w:t>
      </w:r>
      <w:r w:rsidRPr="003A405A">
        <w:rPr>
          <w:b/>
          <w:lang w:val="fr-FR"/>
        </w:rPr>
        <w:t xml:space="preserve"> une croissance spectaculaire de marchés plus modestes</w:t>
      </w:r>
      <w:r w:rsidRPr="003A405A">
        <w:rPr>
          <w:lang w:val="fr-FR"/>
        </w:rPr>
        <w:t xml:space="preserve"> comme ceux de la République tchèque, de la Hongrie, de la Serbie et de la Croatie. </w:t>
      </w:r>
      <w:r w:rsidRPr="003A405A">
        <w:rPr>
          <w:b/>
          <w:lang w:val="fr-FR"/>
        </w:rPr>
        <w:t xml:space="preserve">Un discours à part doit être tenu pour la Chine, </w:t>
      </w:r>
      <w:r w:rsidRPr="003A405A">
        <w:rPr>
          <w:lang w:val="fr-FR"/>
        </w:rPr>
        <w:t xml:space="preserve">où le marché poursuit également </w:t>
      </w:r>
      <w:r w:rsidRPr="003A405A">
        <w:rPr>
          <w:b/>
          <w:lang w:val="fr-FR"/>
        </w:rPr>
        <w:t>en 2022 sa phase négative</w:t>
      </w:r>
      <w:r w:rsidRPr="003A405A">
        <w:rPr>
          <w:lang w:val="fr-FR"/>
        </w:rPr>
        <w:t>, déterminée par des conditions économiques générales défavorables (-1 % des ventes de tracteurs au premier trimestre 2022 après avoir atteint -20 % en 2021). « </w:t>
      </w:r>
      <w:r w:rsidRPr="003A405A">
        <w:rPr>
          <w:b/>
          <w:lang w:val="fr-FR"/>
        </w:rPr>
        <w:t>L’évolution globale du marché confirme que la demande de mécanisation agricole est désormais une constante dans le scénario économique mondial</w:t>
      </w:r>
      <w:r w:rsidRPr="003A405A">
        <w:rPr>
          <w:lang w:val="fr-FR"/>
        </w:rPr>
        <w:t xml:space="preserve"> - a observé </w:t>
      </w:r>
      <w:r w:rsidRPr="007C5C6C">
        <w:rPr>
          <w:b/>
          <w:lang w:val="fr-FR"/>
        </w:rPr>
        <w:t>Alessandro</w:t>
      </w:r>
      <w:r w:rsidRPr="003A405A">
        <w:rPr>
          <w:lang w:val="fr-FR"/>
        </w:rPr>
        <w:t xml:space="preserve"> </w:t>
      </w:r>
      <w:proofErr w:type="spellStart"/>
      <w:r w:rsidRPr="003A405A">
        <w:rPr>
          <w:b/>
          <w:lang w:val="fr-FR"/>
        </w:rPr>
        <w:t>Malavolti</w:t>
      </w:r>
      <w:proofErr w:type="spellEnd"/>
      <w:r w:rsidRPr="003A405A">
        <w:rPr>
          <w:lang w:val="fr-FR"/>
        </w:rPr>
        <w:t>,</w:t>
      </w:r>
      <w:r w:rsidRPr="003A405A">
        <w:rPr>
          <w:b/>
          <w:lang w:val="fr-FR"/>
        </w:rPr>
        <w:t xml:space="preserve"> président de FederUnacoma</w:t>
      </w:r>
      <w:r w:rsidRPr="003A405A">
        <w:rPr>
          <w:lang w:val="fr-FR"/>
        </w:rPr>
        <w:t xml:space="preserve"> - même si la situation économique générale, l’inflation </w:t>
      </w:r>
    </w:p>
    <w:p w14:paraId="3F558F0A" w14:textId="77777777" w:rsidR="005A718F" w:rsidRDefault="005A718F" w:rsidP="005A718F">
      <w:pPr>
        <w:ind w:left="-284"/>
        <w:jc w:val="both"/>
        <w:rPr>
          <w:lang w:val="fr-FR"/>
        </w:rPr>
      </w:pPr>
    </w:p>
    <w:p w14:paraId="278D8125" w14:textId="77777777" w:rsidR="005A718F" w:rsidRDefault="005A718F" w:rsidP="005A718F">
      <w:pPr>
        <w:ind w:left="-284"/>
        <w:jc w:val="both"/>
        <w:rPr>
          <w:lang w:val="fr-FR"/>
        </w:rPr>
      </w:pPr>
    </w:p>
    <w:p w14:paraId="70DC58AC" w14:textId="77777777" w:rsidR="005A718F" w:rsidRDefault="005A718F" w:rsidP="005A718F">
      <w:pPr>
        <w:ind w:left="-284"/>
        <w:jc w:val="both"/>
        <w:rPr>
          <w:lang w:val="fr-FR"/>
        </w:rPr>
      </w:pPr>
    </w:p>
    <w:p w14:paraId="779DA2B8" w14:textId="7AA040A1" w:rsidR="005A718F" w:rsidRPr="003A405A" w:rsidRDefault="005A718F" w:rsidP="005A718F">
      <w:pPr>
        <w:ind w:left="-284"/>
        <w:jc w:val="both"/>
        <w:rPr>
          <w:b/>
          <w:i/>
          <w:lang w:val="fr-FR"/>
        </w:rPr>
      </w:pPr>
      <w:proofErr w:type="gramStart"/>
      <w:r w:rsidRPr="003A405A">
        <w:rPr>
          <w:lang w:val="fr-FR"/>
        </w:rPr>
        <w:lastRenderedPageBreak/>
        <w:t>et</w:t>
      </w:r>
      <w:proofErr w:type="gramEnd"/>
      <w:r w:rsidRPr="003A405A">
        <w:rPr>
          <w:lang w:val="fr-FR"/>
        </w:rPr>
        <w:t xml:space="preserve"> les politiques restrictives mises en œuvre par les Gouvernements, en plus de la baisse possible de la rentabilité de l'agriculture à cause de l'augmentation des coûts de production, ne pourront pas ne pas peser sur le budget de cet année, et sur les premiers mois de l'année prochaine ».« Les opérateurs du secteur </w:t>
      </w:r>
      <w:proofErr w:type="spellStart"/>
      <w:r w:rsidRPr="003A405A">
        <w:rPr>
          <w:lang w:val="fr-FR"/>
        </w:rPr>
        <w:t>agromécanique</w:t>
      </w:r>
      <w:proofErr w:type="spellEnd"/>
      <w:r w:rsidRPr="003A405A">
        <w:rPr>
          <w:lang w:val="fr-FR"/>
        </w:rPr>
        <w:t xml:space="preserve"> – a ajouté Alessandro </w:t>
      </w:r>
      <w:proofErr w:type="spellStart"/>
      <w:r w:rsidRPr="003A405A">
        <w:rPr>
          <w:lang w:val="fr-FR"/>
        </w:rPr>
        <w:t>Malavolti</w:t>
      </w:r>
      <w:proofErr w:type="spellEnd"/>
      <w:r w:rsidRPr="003A405A">
        <w:rPr>
          <w:lang w:val="fr-FR"/>
        </w:rPr>
        <w:t xml:space="preserve"> - espèrent que le marché puisse reprendre sa marche rapidement, dès que la conjoncture économique sera meilleure. Par ailleurs</w:t>
      </w:r>
      <w:r w:rsidRPr="003A405A">
        <w:rPr>
          <w:b/>
          <w:lang w:val="fr-FR"/>
        </w:rPr>
        <w:t>, le secteur agricole est appelé à croître au niveau mondial au cours des prochaines années</w:t>
      </w:r>
      <w:r w:rsidRPr="003A405A">
        <w:rPr>
          <w:lang w:val="fr-FR"/>
        </w:rPr>
        <w:t xml:space="preserve">, pour répondre aux besoins d'une population qui passera de 7,8 milliards de personnes recensées en 2021 à un total de 8,6 milliards en 2031 (près d'un milliard de plus en seulement dix ans). D'ici la prochaine </w:t>
      </w:r>
      <w:r w:rsidRPr="003A405A">
        <w:rPr>
          <w:b/>
          <w:lang w:val="fr-FR"/>
        </w:rPr>
        <w:t>décennie, la production agricole mondiale devrait augmenter de 17 %</w:t>
      </w:r>
      <w:r w:rsidRPr="003A405A">
        <w:rPr>
          <w:lang w:val="fr-FR"/>
        </w:rPr>
        <w:t xml:space="preserve">, principalement entraînée par la Chine, puis par l'Inde et d'autres régions de l'Asie et du Pacifique, tandis que l’Afrique subsaharienne verra également sa capacité de production augmenter. L’augmentation des rendements laisse prévoir </w:t>
      </w:r>
      <w:r w:rsidRPr="003A405A">
        <w:rPr>
          <w:b/>
          <w:lang w:val="fr-FR"/>
        </w:rPr>
        <w:t>une croissance de la production céréalière, même si ce sont les viandes qui enregistreront les progrès les plus importants</w:t>
      </w:r>
      <w:r w:rsidRPr="003A405A">
        <w:rPr>
          <w:lang w:val="fr-FR"/>
        </w:rPr>
        <w:t xml:space="preserve">, avec +16 % au cours des dix prochaines années pour la volaille et +17 % pour la viande porcine. Au total, on estime qu'en 2031, </w:t>
      </w:r>
      <w:r w:rsidRPr="003A405A">
        <w:rPr>
          <w:b/>
          <w:lang w:val="fr-FR"/>
        </w:rPr>
        <w:t>la production mondiale de viande atteindra 377 millions de tonnes (+15 %)</w:t>
      </w:r>
      <w:r w:rsidRPr="003A405A">
        <w:rPr>
          <w:lang w:val="fr-FR"/>
        </w:rPr>
        <w:t xml:space="preserve">, pour répondre à une demande provenant principalement des pays en voie de développement ainsi que des pays émergents. </w:t>
      </w:r>
      <w:r w:rsidRPr="003A405A">
        <w:rPr>
          <w:b/>
          <w:lang w:val="fr-FR"/>
        </w:rPr>
        <w:t>L’agriculture et l'élevage auront une répartition géographique plus large</w:t>
      </w:r>
      <w:r w:rsidRPr="003A405A">
        <w:rPr>
          <w:lang w:val="fr-FR"/>
        </w:rPr>
        <w:t xml:space="preserve"> – c'est le scénario décrit dans les rapports de l'OCDE et de la FAO – car de nombreux pays tendront à une plus grande autonomie d'approvisionnement </w:t>
      </w:r>
      <w:r w:rsidRPr="003A405A">
        <w:rPr>
          <w:b/>
          <w:lang w:val="fr-FR"/>
        </w:rPr>
        <w:t>en réduisant en partie leur dépendance vis-à-vis des cinq grands producteurs actuels de la planète</w:t>
      </w:r>
      <w:r w:rsidRPr="003A405A">
        <w:rPr>
          <w:lang w:val="fr-FR"/>
        </w:rPr>
        <w:t xml:space="preserve">, à savoir la Chine, les États-Unis, l'Union européenne, le Brésil et la Fédération de Russie. Si </w:t>
      </w:r>
      <w:r w:rsidRPr="003A405A">
        <w:rPr>
          <w:b/>
          <w:lang w:val="fr-FR"/>
        </w:rPr>
        <w:t>dans les pays émergents et en voie de développement les technologies visent surtout à l'accroissement de la production</w:t>
      </w:r>
      <w:r w:rsidRPr="003A405A">
        <w:rPr>
          <w:lang w:val="fr-FR"/>
        </w:rPr>
        <w:t xml:space="preserve"> - a-t-on observé au cours de la conférence - </w:t>
      </w:r>
      <w:r w:rsidRPr="003A405A">
        <w:rPr>
          <w:b/>
          <w:lang w:val="fr-FR"/>
        </w:rPr>
        <w:t>dans les pays plus avancés,</w:t>
      </w:r>
      <w:r w:rsidRPr="003A405A">
        <w:rPr>
          <w:lang w:val="fr-FR"/>
        </w:rPr>
        <w:t xml:space="preserve"> et surtout </w:t>
      </w:r>
      <w:r w:rsidRPr="003A405A">
        <w:rPr>
          <w:b/>
          <w:lang w:val="fr-FR"/>
        </w:rPr>
        <w:t>en Europe, les innovations</w:t>
      </w:r>
      <w:r w:rsidRPr="003A405A">
        <w:rPr>
          <w:lang w:val="fr-FR"/>
        </w:rPr>
        <w:t xml:space="preserve"> technologiques </w:t>
      </w:r>
      <w:r w:rsidRPr="003A405A">
        <w:rPr>
          <w:b/>
          <w:lang w:val="fr-FR"/>
        </w:rPr>
        <w:t>visent surtout à la durabilité environnementale et à la préservation des ressources naturelles</w:t>
      </w:r>
      <w:r w:rsidRPr="003A405A">
        <w:rPr>
          <w:lang w:val="fr-FR"/>
        </w:rPr>
        <w:t xml:space="preserve">, selon le modèle qui est résumé dans le Green Deal et rendu opérationnel </w:t>
      </w:r>
      <w:r>
        <w:rPr>
          <w:lang w:val="fr-FR"/>
        </w:rPr>
        <w:t>par</w:t>
      </w:r>
      <w:r w:rsidRPr="003A405A">
        <w:rPr>
          <w:lang w:val="fr-FR"/>
        </w:rPr>
        <w:t xml:space="preserve"> les mesures de la nouvelle Politique Agricole Communautaire. Ce scénario estime que le marché de la mécanisation agricole pourrait croître de manière substantielle dans les années à venir. </w:t>
      </w:r>
      <w:r w:rsidRPr="003A405A">
        <w:rPr>
          <w:b/>
          <w:lang w:val="fr-FR"/>
        </w:rPr>
        <w:t>Les données d'Export Planning sur le commerce mondial des machines agricoles indiquent que celui-ci devrait subir une croissance de 5,7 % entre 2023 et 2026</w:t>
      </w:r>
      <w:r w:rsidRPr="003A405A">
        <w:rPr>
          <w:lang w:val="fr-FR"/>
        </w:rPr>
        <w:t>.</w:t>
      </w:r>
    </w:p>
    <w:p w14:paraId="75786BB2" w14:textId="77777777" w:rsidR="005A718F" w:rsidRPr="003A405A" w:rsidRDefault="005A718F" w:rsidP="005A718F">
      <w:pPr>
        <w:pStyle w:val="P68B1DB1-Normale4"/>
        <w:ind w:left="-284"/>
        <w:jc w:val="both"/>
        <w:rPr>
          <w:lang w:val="fr-FR"/>
        </w:rPr>
      </w:pPr>
      <w:r w:rsidRPr="003A405A">
        <w:rPr>
          <w:lang w:val="fr-FR"/>
        </w:rPr>
        <w:t xml:space="preserve">                         </w:t>
      </w:r>
    </w:p>
    <w:p w14:paraId="4B4D34D8" w14:textId="77777777" w:rsidR="00B53661" w:rsidRPr="00240032" w:rsidRDefault="00B53661">
      <w:pPr>
        <w:spacing w:before="120" w:after="120"/>
        <w:ind w:left="-284" w:right="-575"/>
        <w:jc w:val="both"/>
        <w:rPr>
          <w:rFonts w:cs="Times New Roman"/>
          <w:b/>
          <w:color w:val="333333"/>
          <w:sz w:val="22"/>
          <w:shd w:val="clear" w:color="auto" w:fill="FFFFFF"/>
          <w:lang w:val="fr-FR"/>
        </w:rPr>
      </w:pPr>
    </w:p>
    <w:p w14:paraId="13F5521F" w14:textId="332EFAE5" w:rsidR="00B53661" w:rsidRPr="00240032" w:rsidRDefault="00A6790B">
      <w:pPr>
        <w:pStyle w:val="P68B1DB1-Normale4"/>
        <w:spacing w:before="120" w:after="120"/>
        <w:ind w:left="-284" w:right="-575"/>
        <w:jc w:val="both"/>
        <w:rPr>
          <w:lang w:val="fr-FR"/>
        </w:rPr>
      </w:pPr>
      <w:r w:rsidRPr="00240032">
        <w:rPr>
          <w:lang w:val="fr-FR"/>
        </w:rPr>
        <w:t>Bologne, le 8 novembre 2022</w:t>
      </w:r>
    </w:p>
    <w:sectPr w:rsidR="00B53661" w:rsidRPr="00240032">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EE4B" w14:textId="77777777" w:rsidR="000206AE" w:rsidRDefault="000206AE">
      <w:r>
        <w:separator/>
      </w:r>
    </w:p>
  </w:endnote>
  <w:endnote w:type="continuationSeparator" w:id="0">
    <w:p w14:paraId="0A84DB53" w14:textId="77777777" w:rsidR="000206AE" w:rsidRDefault="0002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892" w14:textId="77777777" w:rsidR="000206AE" w:rsidRDefault="000206AE">
      <w:r>
        <w:separator/>
      </w:r>
    </w:p>
  </w:footnote>
  <w:footnote w:type="continuationSeparator" w:id="0">
    <w:p w14:paraId="4F97569C" w14:textId="77777777" w:rsidR="000206AE" w:rsidRDefault="0002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B53661" w:rsidRDefault="00000000">
    <w:pPr>
      <w:pStyle w:val="Intestazione"/>
      <w:tabs>
        <w:tab w:val="clear" w:pos="9638"/>
        <w:tab w:val="right" w:pos="7485"/>
      </w:tabs>
    </w:pPr>
    <w:sdt>
      <w:sdtPr>
        <w:id w:val="-1783951884"/>
        <w:docPartObj>
          <w:docPartGallery w:val="Page Numbers (Margins)"/>
          <w:docPartUnique/>
        </w:docPartObj>
      </w:sdtPr>
      <w:sdtContent>
        <w:r w:rsidR="00A6790B">
          <w:rPr>
            <w:noProof/>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B53661" w:rsidRDefault="00A6790B">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B53661" w:rsidRDefault="00A6790B">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A6790B">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B1AC4"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A6790B">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A6790B">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B53661" w:rsidRDefault="00A6790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B53661" w:rsidRDefault="00A6790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06AE"/>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0032"/>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7C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A718F"/>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E56F8"/>
    <w:rsid w:val="009F23FD"/>
    <w:rsid w:val="00A00A57"/>
    <w:rsid w:val="00A15BDD"/>
    <w:rsid w:val="00A20F14"/>
    <w:rsid w:val="00A40562"/>
    <w:rsid w:val="00A4130B"/>
    <w:rsid w:val="00A440F2"/>
    <w:rsid w:val="00A445B5"/>
    <w:rsid w:val="00A525E3"/>
    <w:rsid w:val="00A55BCB"/>
    <w:rsid w:val="00A64B93"/>
    <w:rsid w:val="00A6743F"/>
    <w:rsid w:val="00A6790B"/>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3661"/>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4627F"/>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119B"/>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eastAsia="Times New Roman" w:cs="Times New Roman"/>
      <w:b/>
      <w:color w:val="333333"/>
      <w:sz w:val="22"/>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7C63E-6828-41B5-9B12-ABEA7607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cp:lastPrinted>2020-11-02T16:06:00Z</cp:lastPrinted>
  <dcterms:created xsi:type="dcterms:W3CDTF">2022-11-09T11:10:00Z</dcterms:created>
  <dcterms:modified xsi:type="dcterms:W3CDTF">2022-11-09T11:10:00Z</dcterms:modified>
</cp:coreProperties>
</file>